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D67A95" w:rsidRDefault="00400AFE" w:rsidP="00400AF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EA797A">
        <w:rPr>
          <w:rFonts w:ascii="Times New Roman" w:hAnsi="Times New Roman" w:cs="Times New Roman"/>
          <w:sz w:val="24"/>
          <w:szCs w:val="24"/>
        </w:rPr>
        <w:t>Gender Inequality</w:t>
      </w:r>
    </w:p>
    <w:p w:rsidR="00EA797A" w:rsidRDefault="00EA797A" w:rsidP="00400AF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A797A" w:rsidRDefault="00EA797A" w:rsidP="00400A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400AFE" w:rsidRDefault="00400AFE" w:rsidP="00400AFE">
      <w:pPr>
        <w:spacing w:line="480" w:lineRule="auto"/>
        <w:rPr>
          <w:rFonts w:ascii="Times New Roman" w:hAnsi="Times New Roman" w:cs="Times New Roman"/>
          <w:sz w:val="24"/>
          <w:szCs w:val="24"/>
        </w:rPr>
      </w:pPr>
    </w:p>
    <w:p w:rsidR="00400AFE" w:rsidRDefault="00400AFE" w:rsidP="00400AFE">
      <w:pPr>
        <w:spacing w:line="480" w:lineRule="auto"/>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Inequality</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Introduction</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 xml:space="preserve">Gender inequality refers to the situation that brings a condition of difference in degrees between different aspects of life as far as different genders are concerned. Some of the aspects that depict </w:t>
      </w:r>
      <w:r w:rsidRPr="00400AFE">
        <w:rPr>
          <w:rFonts w:ascii="Times New Roman" w:hAnsi="Times New Roman" w:cs="Times New Roman"/>
          <w:sz w:val="24"/>
          <w:szCs w:val="24"/>
        </w:rPr>
        <w:lastRenderedPageBreak/>
        <w:t>the vice of gender inequality include employment status, political power and the general positions of influence. Different conclusions are reached when the issue is analyzed by different people as below.</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1. Kleven, H., &amp; Landais, C. (2017). Gender inequality and economic development: fertility, education, and norms. Economica, 84(334), 180-209.</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This article illustrates the effects of gender inequality in the labor market. How the vice can affect the growth of the general economy. From the ancient times, there has been a lot of myths explaining why male and female should not stand at the same level of life. In this connection, since gender inequality is one of the things that is highly discouraged in the modern world, it has led to the emergence of other theories that aim at reducing it. According to this article, one of the main factors that influence the aspect of gender inequality positivity is demographic transitions. Many females are ruled out due to different roles that they attached to. For example, the children come with additional responsibilities to women that make them be ruled out automatically.</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 xml:space="preserve">The demographic transition leads to long-run convergence of the roles from both genders since it aids in the gradual reduction of female domestic holdbacks. In modern times, this aspect is mostly contributed by the reduction in the birth rate which gives the women enough time to work on the other roles in the community. Secondly, gender convergence is also contributed by the allocation of the same education standards to both genders. In the modern world, everyone is given an equal chance to pursue education which gives everyone equal knowledge to handle different tasks. Finally, the conclusions drawled by different cultures about the inferiority of one gender should be ignored in order to give rise to the participation of everybody development of the economy. Taking into account matters that can help close the gap of inequality is a crucial process since it </w:t>
      </w:r>
      <w:r w:rsidRPr="00400AFE">
        <w:rPr>
          <w:rFonts w:ascii="Times New Roman" w:hAnsi="Times New Roman" w:cs="Times New Roman"/>
          <w:sz w:val="24"/>
          <w:szCs w:val="24"/>
        </w:rPr>
        <w:lastRenderedPageBreak/>
        <w:t xml:space="preserve">leads to a higher growth in the economy. Through this, the aspect of gender equality will be significantly moved to a higher level. </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The article n concludes that in order to bridge the gap of gender inequality, then the reduction of various tasks that can be reduced to give a chance of equal level of competition. This is absolutely true illustrating from the modern way of life. When women are less active by what may be referred as normal tasks such as giving birth and rearing children, they can obtain an opportunity of freedom where they can perform tasks that are faced by the inequality.</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2. Fraile, M., &amp; Gomez, R. (2017). Why does Alejandro know more about politics than Catalina? explaining the Latin American gender gap in political knowledge. British Journal of Political Science, 47(1), 91-112.</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Illustrating from the ancient times of Latin American countries, the article explains the booming of the vice of gender inequality in the times which went to the extent of discouraging to exercise the right. As time progresses the article denotes the improvement in the correction of the vice. Taking an example which the writer of the article uses, the 2008 Americas barometer survey revealed that the danger of inequality is more common in the rural areas than in cities. People in the city mostly attain civilization faster than the rural areas hence proving the hypothesis. The most contributing factor that led the widening gap in the issue of gender inequality mainly included basic factors such as an unequal provision of education between the two genders. Secondly, a culture where a woman is perceived as inferior contributed significantly to the vice.</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 xml:space="preserve">Moreover, gender inequality in the political fields occurs in different forms mostly depending on the geographical location. It may occur in form of different representation between the genders in </w:t>
      </w:r>
      <w:r w:rsidRPr="00400AFE">
        <w:rPr>
          <w:rFonts w:ascii="Times New Roman" w:hAnsi="Times New Roman" w:cs="Times New Roman"/>
          <w:sz w:val="24"/>
          <w:szCs w:val="24"/>
        </w:rPr>
        <w:lastRenderedPageBreak/>
        <w:t>a political forum and party system institutionalization. This type of modern type of gender inequality in the modern world is mostly practiced which deceives people from the actual truth.</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As the article illustrates, the general freedom of women is at risk but behind the scenes. Today women face much discrimination not only in the political sector but also other sectors that are crucial especially in making a good living. The article does not consider the improvement of women’s welfare in the past couple of decades. Due to this factor, the truth behind this fact is significant to justify the claim.</w:t>
      </w:r>
    </w:p>
    <w:p w:rsidR="00400AFE" w:rsidRPr="00400AFE" w:rsidRDefault="00400AFE" w:rsidP="00400AFE">
      <w:pPr>
        <w:spacing w:line="480" w:lineRule="auto"/>
        <w:jc w:val="both"/>
        <w:rPr>
          <w:rFonts w:ascii="Times New Roman" w:hAnsi="Times New Roman" w:cs="Times New Roman"/>
          <w:sz w:val="24"/>
          <w:szCs w:val="24"/>
        </w:rPr>
      </w:pP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Individual power initiative and power of class</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In both of the articles, individual power initiative is supported as both of them advocate on encouraging an individual as s single entity which leads to the development of the whole community. If the issue of gender inequality is well controlled, then the development of individuals leads to a bigger change.</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 xml:space="preserve">According to Martin, in his article Gender as a social institution. Social Forces, 82(4), 1249-1273. (2004). He describes various ways which the individuals should engage in to bridge the gap of gender inequality. For example, parents can do this by exercising equality among children regardless of gender. Children will grow to respect the equality installed from the start. The illustration from the article urges that inequality starts from old childhood times where children copy from their parents. This is absolute as the vice is mostly learned even by the older people. </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The individual initiative can also be exhibited by standing up against the rights of the affected genders</w:t>
      </w:r>
      <w:r w:rsidRPr="00400AF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(Tak</w:t>
      </w:r>
      <w:r w:rsidRPr="00400AFE">
        <w:rPr>
          <w:rFonts w:ascii="Times New Roman" w:hAnsi="Times New Roman" w:cs="Times New Roman"/>
          <w:color w:val="222222"/>
          <w:sz w:val="24"/>
          <w:szCs w:val="24"/>
          <w:shd w:val="clear" w:color="auto" w:fill="FFFFFF"/>
        </w:rPr>
        <w:t>, Cor</w:t>
      </w:r>
      <w:r>
        <w:rPr>
          <w:rFonts w:ascii="Times New Roman" w:hAnsi="Times New Roman" w:cs="Times New Roman"/>
          <w:color w:val="222222"/>
          <w:sz w:val="24"/>
          <w:szCs w:val="24"/>
          <w:shd w:val="clear" w:color="auto" w:fill="FFFFFF"/>
        </w:rPr>
        <w:t>rell &amp; Soule 2017)</w:t>
      </w:r>
      <w:r w:rsidRPr="00400AFE">
        <w:rPr>
          <w:rFonts w:ascii="Times New Roman" w:hAnsi="Times New Roman" w:cs="Times New Roman"/>
          <w:sz w:val="24"/>
          <w:szCs w:val="24"/>
        </w:rPr>
        <w:t xml:space="preserve">. This may include employing various factors that may help to correct the society. For example, an individual can promote gender equality by fighting for the </w:t>
      </w:r>
      <w:r w:rsidRPr="00400AFE">
        <w:rPr>
          <w:rFonts w:ascii="Times New Roman" w:hAnsi="Times New Roman" w:cs="Times New Roman"/>
          <w:sz w:val="24"/>
          <w:szCs w:val="24"/>
        </w:rPr>
        <w:lastRenderedPageBreak/>
        <w:t>rights of the genders in a political setting. Moreover, individual initiative is well practiced from the inner self where one is disciplined enough not to practice various things associated with gender inequality</w:t>
      </w:r>
      <w:r w:rsidRPr="00400AF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(Kleven, </w:t>
      </w:r>
      <w:r w:rsidRPr="00400AFE">
        <w:rPr>
          <w:rFonts w:ascii="Times New Roman" w:hAnsi="Times New Roman" w:cs="Times New Roman"/>
          <w:color w:val="222222"/>
          <w:sz w:val="24"/>
          <w:szCs w:val="24"/>
          <w:shd w:val="clear" w:color="auto" w:fill="FFFFFF"/>
        </w:rPr>
        <w:t>Landa</w:t>
      </w:r>
      <w:r>
        <w:rPr>
          <w:rFonts w:ascii="Times New Roman" w:hAnsi="Times New Roman" w:cs="Times New Roman"/>
          <w:color w:val="222222"/>
          <w:sz w:val="24"/>
          <w:szCs w:val="24"/>
          <w:shd w:val="clear" w:color="auto" w:fill="FFFFFF"/>
        </w:rPr>
        <w:t>is, &amp; Søgaard 2018)</w:t>
      </w:r>
      <w:r w:rsidRPr="00400AFE">
        <w:rPr>
          <w:rFonts w:ascii="Times New Roman" w:hAnsi="Times New Roman" w:cs="Times New Roman"/>
          <w:sz w:val="24"/>
          <w:szCs w:val="24"/>
        </w:rPr>
        <w:t>. For example, being disciplined enough to educate the children equally without paying attention to gender.</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Power of class</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In the society we living today, everyone is busy in the gold rush that the gender distinction is depicted in the working environment. The main factors that contribute to the difference in social class in terms of gender inequality include the fact that the most paying opportunities are made more available to men than to women. Moreover, the technology sectors that are connected with good salaries are more connected with men than women. The general culture assumes that women may not understand the technical fields which consequently leads to a huge gap in social class due to the difference incurred in earnings.</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Theories of gender inequality</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According to parson’s theory, women are generally weak in many tasks. The theory is most of the time seen a  biological reason for gender inequality since it presents women as objects whose main task is to give birth, take care of their children and undertake house chores. Consequently, men are given access to the many changes that improve the quality of his future.</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 xml:space="preserve"> Another theory that explains the growth of the gap between one gender and another, is the issue of manipulation. According to this theory, people have a tendency establishing boundaries between two different genders. For example, in modern times girls are more connected to the pink color that their parents will automatically differentiate the two kinds through the use of different colors</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Recommendations</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lastRenderedPageBreak/>
        <w:t>Equal rights to every person should be guaranteed to ensure that one gender will not rise over the other in the long run. Some of the actions that can be undertaken to ensure this is an equal provision of basic tools such as education which paves the way for everyone to undertake different tasks in the society. Moreover, people should be made aware of</w:t>
      </w:r>
      <w:r>
        <w:rPr>
          <w:rFonts w:ascii="Times New Roman" w:hAnsi="Times New Roman" w:cs="Times New Roman"/>
          <w:sz w:val="24"/>
          <w:szCs w:val="24"/>
        </w:rPr>
        <w:t xml:space="preserve"> the dangers associated with various inequalities</w:t>
      </w:r>
      <w:r w:rsidRPr="00400AFE">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(Lucy Hill, Shepherd, </w:t>
      </w:r>
      <w:r w:rsidRPr="00400AFE">
        <w:rPr>
          <w:rFonts w:ascii="Times New Roman" w:hAnsi="Times New Roman" w:cs="Times New Roman"/>
          <w:color w:val="222222"/>
          <w:sz w:val="24"/>
          <w:szCs w:val="24"/>
          <w:shd w:val="clear" w:color="auto" w:fill="FFFFFF"/>
        </w:rPr>
        <w:t>Do</w:t>
      </w:r>
      <w:r>
        <w:rPr>
          <w:rFonts w:ascii="Times New Roman" w:hAnsi="Times New Roman" w:cs="Times New Roman"/>
          <w:color w:val="222222"/>
          <w:sz w:val="24"/>
          <w:szCs w:val="24"/>
          <w:shd w:val="clear" w:color="auto" w:fill="FFFFFF"/>
        </w:rPr>
        <w:t>yle &amp; Benson 2018)</w:t>
      </w:r>
      <w:r w:rsidRPr="00400AFE">
        <w:rPr>
          <w:rFonts w:ascii="Times New Roman" w:hAnsi="Times New Roman" w:cs="Times New Roman"/>
          <w:sz w:val="24"/>
          <w:szCs w:val="24"/>
        </w:rPr>
        <w:t>. An example through modern communication channels about the potential of the inferior seen gender, what they can do and the importance of supporting them.</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Conclusion</w:t>
      </w:r>
    </w:p>
    <w:p w:rsidR="00400AFE" w:rsidRPr="00400AFE" w:rsidRDefault="00400AFE" w:rsidP="00400AFE">
      <w:pPr>
        <w:spacing w:line="480" w:lineRule="auto"/>
        <w:jc w:val="both"/>
        <w:rPr>
          <w:rFonts w:ascii="Times New Roman" w:hAnsi="Times New Roman" w:cs="Times New Roman"/>
          <w:sz w:val="24"/>
          <w:szCs w:val="24"/>
        </w:rPr>
      </w:pPr>
      <w:r w:rsidRPr="00400AFE">
        <w:rPr>
          <w:rFonts w:ascii="Times New Roman" w:hAnsi="Times New Roman" w:cs="Times New Roman"/>
          <w:sz w:val="24"/>
          <w:szCs w:val="24"/>
        </w:rPr>
        <w:t>Gender inequality has been a major problem for a long time hence everyone should play their role to ensure success in bridging the gap of inequality. Gender inequality has been mostly viewed as a vice that minimizes people freedom in their life ambitions. The vice can be easily controlled through the provision of a good education to every gender and enlightening the people through sharing information. Administration of this two tools will reduce the gap by far as time goes by.</w:t>
      </w: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FB601D" w:rsidRDefault="00FB601D" w:rsidP="00400AFE">
      <w:pPr>
        <w:spacing w:line="480" w:lineRule="auto"/>
        <w:jc w:val="both"/>
        <w:rPr>
          <w:rFonts w:ascii="Times New Roman" w:hAnsi="Times New Roman" w:cs="Times New Roman"/>
          <w:color w:val="222222"/>
          <w:shd w:val="clear" w:color="auto" w:fill="FFFFFF"/>
        </w:rPr>
      </w:pPr>
    </w:p>
    <w:p w:rsidR="00400AFE" w:rsidRDefault="00400AFE" w:rsidP="00400AFE">
      <w:pPr>
        <w:spacing w:line="480" w:lineRule="auto"/>
        <w:jc w:val="both"/>
        <w:rPr>
          <w:rFonts w:ascii="Times New Roman" w:hAnsi="Times New Roman" w:cs="Times New Roman"/>
          <w:color w:val="222222"/>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400AFE" w:rsidRDefault="00400AFE" w:rsidP="00400AFE">
      <w:pPr>
        <w:spacing w:line="480" w:lineRule="auto"/>
        <w:jc w:val="center"/>
        <w:rPr>
          <w:rFonts w:ascii="Times New Roman" w:hAnsi="Times New Roman" w:cs="Times New Roman"/>
          <w:color w:val="222222"/>
          <w:sz w:val="24"/>
          <w:szCs w:val="24"/>
          <w:shd w:val="clear" w:color="auto" w:fill="FFFFFF"/>
        </w:rPr>
      </w:pPr>
    </w:p>
    <w:p w:rsidR="00FB601D" w:rsidRPr="00400AFE" w:rsidRDefault="00400AFE" w:rsidP="00400AFE">
      <w:pPr>
        <w:spacing w:line="480" w:lineRule="auto"/>
        <w:jc w:val="center"/>
        <w:rPr>
          <w:rFonts w:ascii="Times New Roman" w:hAnsi="Times New Roman" w:cs="Times New Roman"/>
          <w:color w:val="222222"/>
          <w:sz w:val="24"/>
          <w:szCs w:val="24"/>
          <w:shd w:val="clear" w:color="auto" w:fill="FFFFFF"/>
        </w:rPr>
      </w:pPr>
      <w:r w:rsidRPr="00400AFE">
        <w:rPr>
          <w:rFonts w:ascii="Times New Roman" w:hAnsi="Times New Roman" w:cs="Times New Roman"/>
          <w:color w:val="222222"/>
          <w:sz w:val="24"/>
          <w:szCs w:val="24"/>
          <w:shd w:val="clear" w:color="auto" w:fill="FFFFFF"/>
        </w:rPr>
        <w:t>References</w:t>
      </w:r>
    </w:p>
    <w:p w:rsidR="00400AFE" w:rsidRPr="00400AFE" w:rsidRDefault="00400AFE" w:rsidP="00400AFE">
      <w:pPr>
        <w:spacing w:line="480" w:lineRule="auto"/>
        <w:jc w:val="both"/>
        <w:rPr>
          <w:rFonts w:ascii="Times New Roman" w:hAnsi="Times New Roman" w:cs="Times New Roman"/>
          <w:color w:val="222222"/>
          <w:sz w:val="24"/>
          <w:szCs w:val="24"/>
          <w:shd w:val="clear" w:color="auto" w:fill="FFFFFF"/>
        </w:rPr>
      </w:pPr>
      <w:r w:rsidRPr="00400AFE">
        <w:rPr>
          <w:rFonts w:ascii="Times New Roman" w:hAnsi="Times New Roman" w:cs="Times New Roman"/>
          <w:color w:val="222222"/>
          <w:sz w:val="24"/>
          <w:szCs w:val="24"/>
          <w:shd w:val="clear" w:color="auto" w:fill="FFFFFF"/>
        </w:rPr>
        <w:lastRenderedPageBreak/>
        <w:t>Kleven, H., Landais, C., &amp; Søgaard, J. E. (2018). </w:t>
      </w:r>
      <w:r w:rsidRPr="00400AFE">
        <w:rPr>
          <w:rFonts w:ascii="Times New Roman" w:hAnsi="Times New Roman" w:cs="Times New Roman"/>
          <w:i/>
          <w:iCs/>
          <w:color w:val="222222"/>
          <w:sz w:val="24"/>
          <w:szCs w:val="24"/>
          <w:shd w:val="clear" w:color="auto" w:fill="FFFFFF"/>
        </w:rPr>
        <w:t>Children and gender inequality: Evidence from Denmark</w:t>
      </w:r>
      <w:r w:rsidRPr="00400AFE">
        <w:rPr>
          <w:rFonts w:ascii="Times New Roman" w:hAnsi="Times New Roman" w:cs="Times New Roman"/>
          <w:color w:val="222222"/>
          <w:sz w:val="24"/>
          <w:szCs w:val="24"/>
          <w:shd w:val="clear" w:color="auto" w:fill="FFFFFF"/>
        </w:rPr>
        <w:t> (No. w24219). National Bureau of Economic Research.</w:t>
      </w:r>
    </w:p>
    <w:p w:rsidR="00400AFE" w:rsidRDefault="00400AFE" w:rsidP="00400AFE">
      <w:pPr>
        <w:spacing w:line="480" w:lineRule="auto"/>
        <w:jc w:val="both"/>
        <w:rPr>
          <w:rFonts w:ascii="Times New Roman" w:hAnsi="Times New Roman" w:cs="Times New Roman"/>
          <w:color w:val="222222"/>
          <w:sz w:val="24"/>
          <w:szCs w:val="24"/>
          <w:shd w:val="clear" w:color="auto" w:fill="FFFFFF"/>
        </w:rPr>
      </w:pPr>
      <w:r w:rsidRPr="00400AFE">
        <w:rPr>
          <w:rFonts w:ascii="Times New Roman" w:hAnsi="Times New Roman" w:cs="Times New Roman"/>
          <w:color w:val="222222"/>
          <w:sz w:val="24"/>
          <w:szCs w:val="24"/>
          <w:shd w:val="clear" w:color="auto" w:fill="FFFFFF"/>
        </w:rPr>
        <w:t>Lucy Hill, R., Shepherd, A., Doyle, J., &amp; Benson, K. L. (2018). Mary Evans The persistence of gender inequality; Lori Jo Marso Politics with Beauvoir: Freedom in the encounter; Kate O’Riordan Unreal objects: Digital materialities, technoscientific projects and political realities; Mark Rifkin Beyond settler time: Temporal sovereignty and indigenous self-determination.</w:t>
      </w:r>
    </w:p>
    <w:p w:rsidR="00400AFE" w:rsidRPr="00400AFE" w:rsidRDefault="00400AFE" w:rsidP="00400AFE">
      <w:pPr>
        <w:spacing w:line="480" w:lineRule="auto"/>
        <w:jc w:val="both"/>
        <w:rPr>
          <w:rFonts w:ascii="Times New Roman" w:hAnsi="Times New Roman" w:cs="Times New Roman"/>
          <w:color w:val="222222"/>
          <w:sz w:val="24"/>
          <w:szCs w:val="24"/>
          <w:shd w:val="clear" w:color="auto" w:fill="FFFFFF"/>
        </w:rPr>
      </w:pPr>
      <w:r w:rsidRPr="00400AFE">
        <w:rPr>
          <w:rFonts w:ascii="Times New Roman" w:hAnsi="Times New Roman" w:cs="Times New Roman"/>
          <w:color w:val="222222"/>
          <w:sz w:val="24"/>
          <w:szCs w:val="24"/>
          <w:shd w:val="clear" w:color="auto" w:fill="FFFFFF"/>
        </w:rPr>
        <w:t>Tak, E., Correll, S., &amp; Soule, S. A. (2017). Gender Inequality in Product Markets: When and How Status Beliefs Transfer to Products. In </w:t>
      </w:r>
      <w:r w:rsidRPr="00400AFE">
        <w:rPr>
          <w:rFonts w:ascii="Times New Roman" w:hAnsi="Times New Roman" w:cs="Times New Roman"/>
          <w:i/>
          <w:iCs/>
          <w:color w:val="222222"/>
          <w:sz w:val="24"/>
          <w:szCs w:val="24"/>
          <w:shd w:val="clear" w:color="auto" w:fill="FFFFFF"/>
        </w:rPr>
        <w:t>Academy of Management Proceedings</w:t>
      </w:r>
      <w:r w:rsidRPr="00400AFE">
        <w:rPr>
          <w:rFonts w:ascii="Times New Roman" w:hAnsi="Times New Roman" w:cs="Times New Roman"/>
          <w:color w:val="222222"/>
          <w:sz w:val="24"/>
          <w:szCs w:val="24"/>
          <w:shd w:val="clear" w:color="auto" w:fill="FFFFFF"/>
        </w:rPr>
        <w:t> (Vol. 2017, No. 1, p. 10114). Briarcliff Manor, NY 10510: Academy of Management.</w:t>
      </w:r>
    </w:p>
    <w:p w:rsidR="00400AFE" w:rsidRPr="00400AFE" w:rsidRDefault="00400AFE" w:rsidP="00400AFE">
      <w:pPr>
        <w:spacing w:line="480" w:lineRule="auto"/>
        <w:jc w:val="both"/>
        <w:rPr>
          <w:rFonts w:ascii="Times New Roman" w:hAnsi="Times New Roman" w:cs="Times New Roman"/>
          <w:color w:val="222222"/>
          <w:sz w:val="24"/>
          <w:szCs w:val="24"/>
          <w:shd w:val="clear" w:color="auto" w:fill="FFFFFF"/>
        </w:rPr>
      </w:pPr>
    </w:p>
    <w:p w:rsidR="00F4343F" w:rsidRPr="00400AFE" w:rsidRDefault="00F4343F" w:rsidP="00400AFE">
      <w:pPr>
        <w:spacing w:line="480" w:lineRule="auto"/>
        <w:jc w:val="both"/>
        <w:rPr>
          <w:rFonts w:ascii="Times New Roman" w:hAnsi="Times New Roman" w:cs="Times New Roman"/>
          <w:color w:val="222222"/>
          <w:sz w:val="24"/>
          <w:szCs w:val="24"/>
          <w:shd w:val="clear" w:color="auto" w:fill="FFFFFF"/>
        </w:rPr>
      </w:pPr>
    </w:p>
    <w:p w:rsidR="00184ADA" w:rsidRPr="00400AFE" w:rsidRDefault="00184ADA" w:rsidP="00400AFE">
      <w:pPr>
        <w:spacing w:line="480" w:lineRule="auto"/>
        <w:jc w:val="both"/>
        <w:rPr>
          <w:rFonts w:ascii="Times New Roman" w:hAnsi="Times New Roman" w:cs="Times New Roman"/>
          <w:color w:val="222222"/>
          <w:sz w:val="24"/>
          <w:szCs w:val="24"/>
          <w:shd w:val="clear" w:color="auto" w:fill="FFFFFF"/>
        </w:rPr>
      </w:pPr>
    </w:p>
    <w:p w:rsidR="00BE67BE" w:rsidRDefault="00BE67BE" w:rsidP="00400AFE">
      <w:pPr>
        <w:spacing w:line="480" w:lineRule="auto"/>
        <w:jc w:val="both"/>
        <w:rPr>
          <w:rFonts w:ascii="Times New Roman" w:hAnsi="Times New Roman" w:cs="Times New Roman"/>
          <w:color w:val="222222"/>
          <w:sz w:val="24"/>
          <w:szCs w:val="24"/>
          <w:shd w:val="clear" w:color="auto" w:fill="FFFFFF"/>
        </w:rPr>
      </w:pPr>
    </w:p>
    <w:p w:rsidR="00CD493C" w:rsidRDefault="00CD493C" w:rsidP="00400AFE">
      <w:pPr>
        <w:spacing w:line="480" w:lineRule="auto"/>
        <w:jc w:val="both"/>
        <w:rPr>
          <w:rFonts w:ascii="Times New Roman" w:hAnsi="Times New Roman" w:cs="Times New Roman"/>
          <w:color w:val="222222"/>
          <w:sz w:val="24"/>
          <w:szCs w:val="24"/>
          <w:shd w:val="clear" w:color="auto" w:fill="FFFFFF"/>
        </w:rPr>
      </w:pPr>
    </w:p>
    <w:p w:rsidR="005A1939" w:rsidRDefault="005A1939" w:rsidP="00400AFE">
      <w:pPr>
        <w:spacing w:line="480" w:lineRule="auto"/>
        <w:jc w:val="both"/>
        <w:rPr>
          <w:rFonts w:ascii="Times New Roman" w:hAnsi="Times New Roman" w:cs="Times New Roman"/>
          <w:color w:val="222222"/>
          <w:sz w:val="24"/>
          <w:szCs w:val="24"/>
          <w:shd w:val="clear" w:color="auto" w:fill="FFFFFF"/>
        </w:rPr>
      </w:pPr>
    </w:p>
    <w:p w:rsidR="007A155D" w:rsidRPr="00ED22EF" w:rsidRDefault="007A155D" w:rsidP="00400AFE">
      <w:pPr>
        <w:spacing w:line="480" w:lineRule="auto"/>
        <w:jc w:val="both"/>
        <w:rPr>
          <w:rFonts w:ascii="Times New Roman" w:hAnsi="Times New Roman" w:cs="Times New Roman"/>
          <w:color w:val="222222"/>
          <w:sz w:val="24"/>
          <w:szCs w:val="24"/>
          <w:shd w:val="clear" w:color="auto" w:fill="FFFFFF"/>
        </w:rPr>
      </w:pPr>
    </w:p>
    <w:p w:rsidR="00ED22EF" w:rsidRDefault="00ED22EF" w:rsidP="00400AFE">
      <w:pPr>
        <w:spacing w:line="480" w:lineRule="auto"/>
        <w:jc w:val="both"/>
        <w:rPr>
          <w:rFonts w:ascii="Times New Roman" w:hAnsi="Times New Roman" w:cs="Times New Roman"/>
          <w:color w:val="222222"/>
          <w:sz w:val="24"/>
          <w:szCs w:val="24"/>
          <w:shd w:val="clear" w:color="auto" w:fill="FFFFFF"/>
        </w:rPr>
      </w:pPr>
    </w:p>
    <w:p w:rsidR="003C3042" w:rsidRDefault="003C3042" w:rsidP="00400AFE">
      <w:pPr>
        <w:spacing w:line="480" w:lineRule="auto"/>
        <w:jc w:val="both"/>
        <w:rPr>
          <w:rFonts w:ascii="Times New Roman" w:hAnsi="Times New Roman" w:cs="Times New Roman"/>
          <w:color w:val="222222"/>
          <w:sz w:val="24"/>
          <w:szCs w:val="24"/>
          <w:shd w:val="clear" w:color="auto" w:fill="FFFFFF"/>
        </w:rPr>
      </w:pPr>
    </w:p>
    <w:p w:rsidR="006450D3" w:rsidRPr="005106D6" w:rsidRDefault="006450D3" w:rsidP="00400AFE">
      <w:pPr>
        <w:spacing w:line="480" w:lineRule="auto"/>
        <w:jc w:val="both"/>
        <w:rPr>
          <w:rFonts w:ascii="Times New Roman" w:hAnsi="Times New Roman" w:cs="Times New Roman"/>
          <w:sz w:val="24"/>
          <w:szCs w:val="24"/>
        </w:rPr>
      </w:pPr>
    </w:p>
    <w:p w:rsidR="00BB2FD4" w:rsidRDefault="00BB2FD4" w:rsidP="00400AFE">
      <w:pPr>
        <w:spacing w:line="480" w:lineRule="auto"/>
        <w:rPr>
          <w:rFonts w:ascii="Arial" w:hAnsi="Arial" w:cs="Arial"/>
          <w:color w:val="222222"/>
          <w:sz w:val="20"/>
          <w:szCs w:val="20"/>
          <w:shd w:val="clear" w:color="auto" w:fill="FFFFFF"/>
        </w:rPr>
      </w:pPr>
    </w:p>
    <w:p w:rsidR="00EA797A" w:rsidRDefault="00EA797A" w:rsidP="00400AF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jc w:val="center"/>
        <w:rPr>
          <w:rFonts w:ascii="Times New Roman" w:hAnsi="Times New Roman" w:cs="Times New Roman"/>
          <w:sz w:val="24"/>
          <w:szCs w:val="24"/>
        </w:rPr>
      </w:pPr>
    </w:p>
    <w:p w:rsidR="00EA797A" w:rsidRDefault="00EA797A" w:rsidP="00400AFE">
      <w:pPr>
        <w:spacing w:line="480" w:lineRule="auto"/>
      </w:pPr>
    </w:p>
    <w:sectPr w:rsidR="00EA797A" w:rsidSect="00EA79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BDC" w:rsidRDefault="00B24BDC" w:rsidP="00EA797A">
      <w:pPr>
        <w:spacing w:after="0" w:line="240" w:lineRule="auto"/>
      </w:pPr>
      <w:r>
        <w:separator/>
      </w:r>
    </w:p>
  </w:endnote>
  <w:endnote w:type="continuationSeparator" w:id="0">
    <w:p w:rsidR="00B24BDC" w:rsidRDefault="00B24BDC" w:rsidP="00EA7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BDC" w:rsidRDefault="00B24BDC" w:rsidP="00EA797A">
      <w:pPr>
        <w:spacing w:after="0" w:line="240" w:lineRule="auto"/>
      </w:pPr>
      <w:r>
        <w:separator/>
      </w:r>
    </w:p>
  </w:footnote>
  <w:footnote w:type="continuationSeparator" w:id="0">
    <w:p w:rsidR="00B24BDC" w:rsidRDefault="00B24BDC" w:rsidP="00EA79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7A" w:rsidRDefault="00EA797A">
    <w:pPr>
      <w:pStyle w:val="Header"/>
    </w:pPr>
    <w:r>
      <w:rPr>
        <w:rFonts w:ascii="Times New Roman" w:hAnsi="Times New Roman" w:cs="Times New Roman"/>
        <w:sz w:val="24"/>
        <w:szCs w:val="24"/>
      </w:rPr>
      <w:t xml:space="preserve">GENDER INEQUALITY                                                                                                                </w:t>
    </w:r>
    <w:r w:rsidRPr="00EA797A">
      <w:rPr>
        <w:rFonts w:ascii="Times New Roman" w:hAnsi="Times New Roman" w:cs="Times New Roman"/>
        <w:sz w:val="24"/>
        <w:szCs w:val="24"/>
      </w:rPr>
      <w:fldChar w:fldCharType="begin"/>
    </w:r>
    <w:r w:rsidRPr="00EA797A">
      <w:rPr>
        <w:rFonts w:ascii="Times New Roman" w:hAnsi="Times New Roman" w:cs="Times New Roman"/>
        <w:sz w:val="24"/>
        <w:szCs w:val="24"/>
      </w:rPr>
      <w:instrText xml:space="preserve"> PAGE   \* MERGEFORMAT </w:instrText>
    </w:r>
    <w:r w:rsidRPr="00EA797A">
      <w:rPr>
        <w:rFonts w:ascii="Times New Roman" w:hAnsi="Times New Roman" w:cs="Times New Roman"/>
        <w:sz w:val="24"/>
        <w:szCs w:val="24"/>
      </w:rPr>
      <w:fldChar w:fldCharType="separate"/>
    </w:r>
    <w:r w:rsidR="00400AFE">
      <w:rPr>
        <w:rFonts w:ascii="Times New Roman" w:hAnsi="Times New Roman" w:cs="Times New Roman"/>
        <w:noProof/>
        <w:sz w:val="24"/>
        <w:szCs w:val="24"/>
      </w:rPr>
      <w:t>9</w:t>
    </w:r>
    <w:r w:rsidRPr="00EA79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7A" w:rsidRPr="00EA797A" w:rsidRDefault="00EA797A">
    <w:pPr>
      <w:pStyle w:val="Header"/>
      <w:rPr>
        <w:rFonts w:ascii="Times New Roman" w:hAnsi="Times New Roman" w:cs="Times New Roman"/>
        <w:sz w:val="24"/>
        <w:szCs w:val="24"/>
      </w:rPr>
    </w:pPr>
    <w:r>
      <w:rPr>
        <w:rFonts w:ascii="Times New Roman" w:hAnsi="Times New Roman" w:cs="Times New Roman"/>
        <w:sz w:val="24"/>
        <w:szCs w:val="24"/>
      </w:rPr>
      <w:t xml:space="preserve">Running head: GENDER INEQUALITY                                                                                       </w:t>
    </w:r>
    <w:r w:rsidRPr="00EA797A">
      <w:rPr>
        <w:rFonts w:ascii="Times New Roman" w:hAnsi="Times New Roman" w:cs="Times New Roman"/>
        <w:sz w:val="24"/>
        <w:szCs w:val="24"/>
      </w:rPr>
      <w:fldChar w:fldCharType="begin"/>
    </w:r>
    <w:r w:rsidRPr="00EA797A">
      <w:rPr>
        <w:rFonts w:ascii="Times New Roman" w:hAnsi="Times New Roman" w:cs="Times New Roman"/>
        <w:sz w:val="24"/>
        <w:szCs w:val="24"/>
      </w:rPr>
      <w:instrText xml:space="preserve"> PAGE   \* MERGEFORMAT </w:instrText>
    </w:r>
    <w:r w:rsidRPr="00EA797A">
      <w:rPr>
        <w:rFonts w:ascii="Times New Roman" w:hAnsi="Times New Roman" w:cs="Times New Roman"/>
        <w:sz w:val="24"/>
        <w:szCs w:val="24"/>
      </w:rPr>
      <w:fldChar w:fldCharType="separate"/>
    </w:r>
    <w:r w:rsidR="00400AFE">
      <w:rPr>
        <w:rFonts w:ascii="Times New Roman" w:hAnsi="Times New Roman" w:cs="Times New Roman"/>
        <w:noProof/>
        <w:sz w:val="24"/>
        <w:szCs w:val="24"/>
      </w:rPr>
      <w:t>1</w:t>
    </w:r>
    <w:r w:rsidRPr="00EA797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97A"/>
    <w:rsid w:val="00097352"/>
    <w:rsid w:val="00184ADA"/>
    <w:rsid w:val="0020139C"/>
    <w:rsid w:val="00265B34"/>
    <w:rsid w:val="002709FF"/>
    <w:rsid w:val="00275B4F"/>
    <w:rsid w:val="0035302F"/>
    <w:rsid w:val="003C3042"/>
    <w:rsid w:val="003F5A30"/>
    <w:rsid w:val="00400AFE"/>
    <w:rsid w:val="005106D6"/>
    <w:rsid w:val="005212CB"/>
    <w:rsid w:val="005A1939"/>
    <w:rsid w:val="00615490"/>
    <w:rsid w:val="006450D3"/>
    <w:rsid w:val="0066699F"/>
    <w:rsid w:val="006701D5"/>
    <w:rsid w:val="006A1924"/>
    <w:rsid w:val="0076535A"/>
    <w:rsid w:val="007A155D"/>
    <w:rsid w:val="00B0772E"/>
    <w:rsid w:val="00B24BDC"/>
    <w:rsid w:val="00B678B6"/>
    <w:rsid w:val="00BA4DB9"/>
    <w:rsid w:val="00BB2FD4"/>
    <w:rsid w:val="00BE67BE"/>
    <w:rsid w:val="00CD493C"/>
    <w:rsid w:val="00CF5734"/>
    <w:rsid w:val="00D25295"/>
    <w:rsid w:val="00D67A95"/>
    <w:rsid w:val="00D7067A"/>
    <w:rsid w:val="00D72476"/>
    <w:rsid w:val="00DC66A6"/>
    <w:rsid w:val="00E61895"/>
    <w:rsid w:val="00EA797A"/>
    <w:rsid w:val="00ED22EF"/>
    <w:rsid w:val="00F4343F"/>
    <w:rsid w:val="00F63A7F"/>
    <w:rsid w:val="00F73C7E"/>
    <w:rsid w:val="00FB6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18E5A-3AC7-4AA7-8944-0909A426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97A"/>
  </w:style>
  <w:style w:type="paragraph" w:styleId="Footer">
    <w:name w:val="footer"/>
    <w:basedOn w:val="Normal"/>
    <w:link w:val="FooterChar"/>
    <w:uiPriority w:val="99"/>
    <w:unhideWhenUsed/>
    <w:rsid w:val="00EA7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994</TotalTime>
  <Pages>1</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2018-11-26T07:55:00Z</dcterms:created>
  <dcterms:modified xsi:type="dcterms:W3CDTF">2018-11-27T14:19:00Z</dcterms:modified>
</cp:coreProperties>
</file>